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D4" w:rsidRPr="00032AD4" w:rsidRDefault="00032AD4" w:rsidP="00032AD4">
      <w:pPr>
        <w:shd w:val="clear" w:color="auto" w:fill="FFFFFF"/>
        <w:spacing w:line="240" w:lineRule="auto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212529"/>
          <w:sz w:val="27"/>
          <w:szCs w:val="27"/>
          <w:lang w:val="uk-UA" w:eastAsia="uk-UA"/>
        </w:rPr>
        <w:t>День оприлюднення на офіційному веб-сайті Регулятора: 02.06.2022</w:t>
      </w:r>
    </w:p>
    <w:p w:rsidR="00032AD4" w:rsidRPr="00032AD4" w:rsidRDefault="00032AD4" w:rsidP="00032AD4">
      <w:pPr>
        <w:shd w:val="clear" w:color="auto" w:fill="FFFFFF"/>
        <w:spacing w:after="75" w:line="288" w:lineRule="atLeast"/>
        <w:textAlignment w:val="baseline"/>
        <w:rPr>
          <w:rFonts w:ascii="ProbaPro" w:eastAsia="Times New Roman" w:hAnsi="ProbaPro" w:cs="Times New Roman"/>
          <w:b/>
          <w:bCs/>
          <w:color w:val="1D1D1B"/>
          <w:sz w:val="30"/>
          <w:szCs w:val="30"/>
          <w:lang w:val="uk-UA" w:eastAsia="uk-UA"/>
        </w:rPr>
      </w:pPr>
      <w:r w:rsidRPr="00032AD4">
        <w:rPr>
          <w:rFonts w:ascii="ProbaPro" w:eastAsia="Times New Roman" w:hAnsi="ProbaPro" w:cs="Times New Roman"/>
          <w:b/>
          <w:bCs/>
          <w:color w:val="1D1D1B"/>
          <w:sz w:val="30"/>
          <w:szCs w:val="30"/>
          <w:lang w:val="uk-UA" w:eastAsia="uk-UA"/>
        </w:rPr>
        <w:t>Постанова</w:t>
      </w:r>
    </w:p>
    <w:p w:rsidR="00032AD4" w:rsidRPr="00032AD4" w:rsidRDefault="00032AD4" w:rsidP="00032AD4">
      <w:pPr>
        <w:shd w:val="clear" w:color="auto" w:fill="FFFFFF"/>
        <w:spacing w:after="75" w:line="288" w:lineRule="atLeast"/>
        <w:textAlignment w:val="baseline"/>
        <w:rPr>
          <w:rFonts w:ascii="ProbaPro" w:eastAsia="Times New Roman" w:hAnsi="ProbaPro" w:cs="Times New Roman"/>
          <w:b/>
          <w:bCs/>
          <w:color w:val="1D1D1B"/>
          <w:spacing w:val="15"/>
          <w:sz w:val="30"/>
          <w:szCs w:val="30"/>
          <w:lang w:val="uk-UA" w:eastAsia="uk-UA"/>
        </w:rPr>
      </w:pPr>
      <w:r w:rsidRPr="00032AD4">
        <w:rPr>
          <w:rFonts w:ascii="ProbaPro" w:eastAsia="Times New Roman" w:hAnsi="ProbaPro" w:cs="Times New Roman"/>
          <w:b/>
          <w:bCs/>
          <w:color w:val="1D1D1B"/>
          <w:spacing w:val="15"/>
          <w:sz w:val="30"/>
          <w:szCs w:val="30"/>
          <w:lang w:val="uk-UA" w:eastAsia="uk-UA"/>
        </w:rPr>
        <w:t>від 31 травня 2022 р. № 544</w:t>
      </w:r>
    </w:p>
    <w:p w:rsidR="00032AD4" w:rsidRPr="00032AD4" w:rsidRDefault="00032AD4" w:rsidP="00032AD4">
      <w:pPr>
        <w:shd w:val="clear" w:color="auto" w:fill="FFFFFF"/>
        <w:spacing w:line="288" w:lineRule="atLeast"/>
        <w:textAlignment w:val="baseline"/>
        <w:rPr>
          <w:rFonts w:ascii="ProbaPro" w:eastAsia="Times New Roman" w:hAnsi="ProbaPro" w:cs="Times New Roman"/>
          <w:b/>
          <w:bCs/>
          <w:color w:val="1D1D1B"/>
          <w:sz w:val="28"/>
          <w:szCs w:val="28"/>
          <w:lang w:val="uk-UA" w:eastAsia="uk-UA"/>
        </w:rPr>
      </w:pPr>
      <w:r w:rsidRPr="00032AD4">
        <w:rPr>
          <w:rFonts w:ascii="ProbaPro" w:eastAsia="Times New Roman" w:hAnsi="ProbaPro" w:cs="Times New Roman"/>
          <w:b/>
          <w:bCs/>
          <w:color w:val="1D1D1B"/>
          <w:sz w:val="28"/>
          <w:szCs w:val="28"/>
          <w:lang w:val="uk-UA" w:eastAsia="uk-UA"/>
        </w:rPr>
        <w:t>Про схвалення Інвестиційної програми КОМУНАЛЬНОГО ПІДПРИЄМСТВА «ПАВЛОГРАДСЬКЕ ВИРОБНИЧЕ УПРАВЛІННЯ ВОДОПРОВІДНО-КАНАЛІЗАЦІЙНОГО ГОСПОДАРСТВА» ПАВЛОГРАДСЬКОЇ МІСЬКОЇ РАДИ на 2022 рік</w:t>
      </w:r>
    </w:p>
    <w:p w:rsidR="00032AD4" w:rsidRPr="00032AD4" w:rsidRDefault="00032AD4" w:rsidP="00032AD4">
      <w:pPr>
        <w:shd w:val="clear" w:color="auto" w:fill="FFFFFF"/>
        <w:spacing w:before="100" w:beforeAutospacing="1"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НАЦІОНАЛЬНА КОМІСІЯ, ЩО ЗДІЙСНЮЄ ДЕРЖАВНЕ РЕГУЛЮВАННЯ</w:t>
      </w:r>
    </w:p>
    <w:p w:rsidR="00032AD4" w:rsidRPr="00032AD4" w:rsidRDefault="00032AD4" w:rsidP="00032AD4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У СФЕРАХ ЕНЕРГЕТИКИ ТА КОМУНАЛЬНИХ ПОСЛУГ</w:t>
      </w:r>
    </w:p>
    <w:p w:rsidR="00032AD4" w:rsidRPr="00032AD4" w:rsidRDefault="00032AD4" w:rsidP="00032AD4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ПОСТАНОВА</w:t>
      </w:r>
    </w:p>
    <w:p w:rsidR="00032AD4" w:rsidRPr="00032AD4" w:rsidRDefault="00032AD4" w:rsidP="00032AD4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31.05.2022 № 544</w:t>
      </w:r>
    </w:p>
    <w:p w:rsidR="00032AD4" w:rsidRPr="00032AD4" w:rsidRDefault="00032AD4" w:rsidP="00032AD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Про схвалення Інвестиційної програми КОМУНАЛЬНОГО ПІДПРИЄМСТВА «ПАВЛОГРАДСЬКЕ ВИРОБНИЧЕ УПРАВЛІННЯ ВОДОПРОВІДНО-КАНАЛІЗАЦІЙНОГО ГОСПОДАРСТВА» ПАВЛОГРАДСЬКОЇ МІСЬКОЇ РАДИ на 2022 рік</w:t>
      </w:r>
    </w:p>
    <w:p w:rsidR="00032AD4" w:rsidRPr="00032AD4" w:rsidRDefault="00032AD4" w:rsidP="00032AD4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Відповідно до законів України «Про державне регулювання у сфері комунальних послуг», «Про Національну комісію, що здійснює державне регулювання у сферах енергетики та комунальних послуг», Порядку розроблення, погодження та затвердження інвестиційних програм суб’єктів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послуг, затвердженого постановою Національної комісії, що здійснює державне регулювання у сферах енергетики та комунальних послуг, від 14 вересня 2017 року № 1131, та підпункту 1 пункту 3 постанови Національної комісії, що здійснює державне регулювання у сферах енергетики та комунальних послуг, від 24 листопада 2021 року № 2339 «Про накладення штрафу на КОМУНАЛЬНЕ ПІДПРИЄМСТВО «ПАВЛОГРАДСЬКЕ ВИРОБНИЧЕ УПРАВЛІННЯ ВОДОПРОВІДНО-КАНАЛІЗАЦІЙНОГО ГОСПОДАРСТВА» ПАВЛОГРАДСЬКОЇ МІСЬКОЇ РАДИ за порушення Ліцензійних умов провадження господарської діяльності з централізованого водопостачання та централізованого водовідведення, здійснення заходів державного регулювання», Національна комісія, що здійснює державне регулювання у сферах енергетики та комунальних послуг, ПОСТАНОВЛЯЄ:</w:t>
      </w:r>
    </w:p>
    <w:p w:rsidR="00032AD4" w:rsidRPr="00032AD4" w:rsidRDefault="00032AD4" w:rsidP="00032AD4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Схвалити Інвестиційну програму ліцензіата, що провадить господарську діяльність з централізованого водопостачання та водовідведення, КОМУНАЛЬНОГО ПІДПРИЄМСТВА «ПАВЛОГРАДСЬКЕ ВИРОБНИЧЕ УПРАВЛІННЯ ВОДОПРОВІДНО-КАНАЛІЗАЦІЙНОГО ГОСПОДАРСТВА» ПАВЛОГРАДСЬКОЇ МІСЬКОЇ РАДИ на 2022 рік у сумі 2 354,20 тис. </w:t>
      </w:r>
      <w:proofErr w:type="spellStart"/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грн</w:t>
      </w:r>
      <w:proofErr w:type="spellEnd"/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(без урахування ПДВ) та джерела її фінансування згідно з додатком.</w:t>
      </w:r>
    </w:p>
    <w:p w:rsidR="00032AD4" w:rsidRPr="00032AD4" w:rsidRDefault="00032AD4" w:rsidP="00032AD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Голова НКРЕКП              К.</w:t>
      </w:r>
      <w:proofErr w:type="spellStart"/>
      <w:r w:rsidRPr="00032AD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Ущаповський</w:t>
      </w:r>
      <w:bookmarkStart w:id="0" w:name="_GoBack"/>
      <w:bookmarkEnd w:id="0"/>
      <w:proofErr w:type="spellEnd"/>
    </w:p>
    <w:p w:rsidR="00751D1C" w:rsidRPr="00032AD4" w:rsidRDefault="00751D1C" w:rsidP="00032AD4"/>
    <w:sectPr w:rsidR="00751D1C" w:rsidRPr="00032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57"/>
    <w:rsid w:val="00032AD4"/>
    <w:rsid w:val="003F7C57"/>
    <w:rsid w:val="007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6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5999">
                  <w:marLeft w:val="4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1118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2022-07-29T07:44:00Z</dcterms:created>
  <dcterms:modified xsi:type="dcterms:W3CDTF">2022-07-29T07:44:00Z</dcterms:modified>
</cp:coreProperties>
</file>